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496" w:rsidRDefault="009B0496">
      <w:r w:rsidRPr="009B0496">
        <w:rPr>
          <w:noProof/>
          <w:sz w:val="20"/>
          <w:lang w:val="en-US"/>
        </w:rPr>
        <w:pict>
          <v:shapetype id="_x0000_t202" coordsize="21600,21600" o:spt="202" path="m,l,21600r21600,l21600,xe">
            <v:stroke joinstyle="miter"/>
            <v:path gradientshapeok="t" o:connecttype="rect"/>
          </v:shapetype>
          <v:shape id="_x0000_s1026" type="#_x0000_t202" style="position:absolute;margin-left:-31.8pt;margin-top:.2pt;width:495pt;height:747pt;z-index:251657728">
            <v:textbox style="mso-next-textbox:#_x0000_s1026">
              <w:txbxContent>
                <w:p w:rsidR="009B0496" w:rsidRDefault="009B0496">
                  <w:pPr>
                    <w:pStyle w:val="Heading7"/>
                    <w:rPr>
                      <w:b/>
                      <w:bCs/>
                    </w:rPr>
                  </w:pPr>
                </w:p>
                <w:p w:rsidR="009B0496" w:rsidRDefault="00632F90">
                  <w:pPr>
                    <w:rPr>
                      <w:rFonts w:ascii="Times New (W1)" w:hAnsi="Times New (W1)"/>
                      <w:sz w:val="22"/>
                    </w:rPr>
                  </w:pPr>
                  <w:r>
                    <w:rPr>
                      <w:rFonts w:ascii="Times New (W1)" w:hAnsi="Times New (W1)"/>
                      <w:noProof/>
                      <w:sz w:val="22"/>
                      <w:lang w:eastAsia="en-AU"/>
                    </w:rPr>
                    <w:drawing>
                      <wp:inline distT="0" distB="0" distL="0" distR="0">
                        <wp:extent cx="2257425" cy="677949"/>
                        <wp:effectExtent l="19050" t="0" r="9525" b="0"/>
                        <wp:docPr id="2" name="Picture 1" descr="ACTGov_TaMS_inline_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Gov_TaMS_inline_293.png"/>
                                <pic:cNvPicPr/>
                              </pic:nvPicPr>
                              <pic:blipFill>
                                <a:blip r:embed="rId4"/>
                                <a:stretch>
                                  <a:fillRect/>
                                </a:stretch>
                              </pic:blipFill>
                              <pic:spPr>
                                <a:xfrm>
                                  <a:off x="0" y="0"/>
                                  <a:ext cx="2257425" cy="677949"/>
                                </a:xfrm>
                                <a:prstGeom prst="rect">
                                  <a:avLst/>
                                </a:prstGeom>
                              </pic:spPr>
                            </pic:pic>
                          </a:graphicData>
                        </a:graphic>
                      </wp:inline>
                    </w:drawing>
                  </w:r>
                </w:p>
                <w:p w:rsidR="00632F90" w:rsidRDefault="00632F90">
                  <w:pPr>
                    <w:rPr>
                      <w:rFonts w:ascii="Times New (W1)" w:hAnsi="Times New (W1)"/>
                      <w:sz w:val="22"/>
                    </w:rPr>
                  </w:pPr>
                </w:p>
                <w:p w:rsidR="00FC714B" w:rsidRDefault="00FC714B">
                  <w:pPr>
                    <w:rPr>
                      <w:rFonts w:ascii="Times New (W1)" w:hAnsi="Times New (W1)"/>
                      <w:sz w:val="22"/>
                    </w:rPr>
                  </w:pPr>
                </w:p>
                <w:p w:rsidR="009B0496" w:rsidRDefault="00FC714B">
                  <w:pPr>
                    <w:pStyle w:val="Heading5"/>
                    <w:rPr>
                      <w:sz w:val="20"/>
                    </w:rPr>
                  </w:pPr>
                  <w:r>
                    <w:t>BRIDGE SAFETY SCREEN POLICY STATEMENT</w:t>
                  </w:r>
                </w:p>
                <w:p w:rsidR="009B0496" w:rsidRDefault="00FC714B">
                  <w:pPr>
                    <w:pStyle w:val="BodyText"/>
                  </w:pPr>
                  <w:r>
                    <w:t>The Sustainable Transport Plan</w:t>
                  </w:r>
                  <w:r>
                    <w:rPr>
                      <w:vertAlign w:val="superscript"/>
                    </w:rPr>
                    <w:t>1</w:t>
                  </w:r>
                  <w:r>
                    <w:t xml:space="preserve"> is part of the ACT Government’s commitment to improve transport in the ACT. The Plan seeks to ensure the safety and security of all road users using the road network by adopting a </w:t>
                  </w:r>
                  <w:r>
                    <w:rPr>
                      <w:i/>
                      <w:iCs/>
                    </w:rPr>
                    <w:t>“Safe System”</w:t>
                  </w:r>
                  <w:r>
                    <w:t xml:space="preserve"> approach, looking at the safety of the road and the roadside safety levels holistically to minimise the possibility of property damage, injuries and fatal accidents. </w:t>
                  </w:r>
                </w:p>
                <w:p w:rsidR="009B0496" w:rsidRDefault="00FC714B">
                  <w:pPr>
                    <w:pStyle w:val="BodyText2"/>
                    <w:rPr>
                      <w:sz w:val="22"/>
                    </w:rPr>
                  </w:pPr>
                  <w:r>
                    <w:rPr>
                      <w:sz w:val="22"/>
                    </w:rPr>
                    <w:t xml:space="preserve">Roads ACT can contribute to the sustainable transport plan by ensuring the programs it manages include appropriate measures to improve safety levels on all the assets we manage. </w:t>
                  </w:r>
                </w:p>
                <w:p w:rsidR="009B0496" w:rsidRDefault="00FC714B">
                  <w:pPr>
                    <w:pStyle w:val="BodyText"/>
                  </w:pPr>
                  <w:r>
                    <w:t xml:space="preserve">In relation to the bridge network, Roads ACT is committed to the improvement of safety levels on bridges through a bridge strengthening (and replacement) program aimed at increasing load limits on bridges and the proposed bridge safety screen programme </w:t>
                  </w:r>
                  <w:r>
                    <w:rPr>
                      <w:color w:val="000000"/>
                    </w:rPr>
                    <w:t>aimed at ensuring that the likelihood of accidents caused from an object thrown off a bridge at a vehicle passing below is minimised.</w:t>
                  </w:r>
                  <w:r>
                    <w:t xml:space="preserve"> </w:t>
                  </w:r>
                </w:p>
                <w:p w:rsidR="009B0496" w:rsidRDefault="009B0496">
                  <w:pPr>
                    <w:pStyle w:val="BodyText"/>
                  </w:pPr>
                </w:p>
                <w:p w:rsidR="009B0496" w:rsidRDefault="00FC714B">
                  <w:pPr>
                    <w:spacing w:after="240"/>
                    <w:rPr>
                      <w:rFonts w:ascii="Times New (W1)" w:hAnsi="Times New (W1)"/>
                      <w:sz w:val="22"/>
                    </w:rPr>
                  </w:pPr>
                  <w:r>
                    <w:rPr>
                      <w:rFonts w:ascii="Times New (W1)" w:hAnsi="Times New (W1)"/>
                      <w:b/>
                      <w:bCs/>
                      <w:sz w:val="22"/>
                    </w:rPr>
                    <w:t>Policy:</w:t>
                  </w:r>
                  <w:r>
                    <w:rPr>
                      <w:rFonts w:ascii="Times New (W1)" w:hAnsi="Times New (W1)"/>
                      <w:sz w:val="22"/>
                    </w:rPr>
                    <w:t xml:space="preserve">  The bridge safety screen policy refers to the implementation of safety screens on existing </w:t>
                  </w:r>
                  <w:r>
                    <w:rPr>
                      <w:rFonts w:ascii="Times New (W1)" w:hAnsi="Times New (W1)"/>
                      <w:color w:val="000000"/>
                      <w:sz w:val="22"/>
                    </w:rPr>
                    <w:t>and new</w:t>
                  </w:r>
                  <w:r>
                    <w:rPr>
                      <w:rFonts w:ascii="Times New (W1)" w:hAnsi="Times New (W1)"/>
                      <w:sz w:val="22"/>
                    </w:rPr>
                    <w:t xml:space="preserve"> bridges as defined in </w:t>
                  </w:r>
                  <w:r>
                    <w:rPr>
                      <w:rFonts w:ascii="Times New (W1)" w:hAnsi="Times New (W1)"/>
                      <w:i/>
                      <w:iCs/>
                      <w:sz w:val="22"/>
                    </w:rPr>
                    <w:t>“Bridge Safety Screen Policy- Discussion Paper</w:t>
                  </w:r>
                  <w:r>
                    <w:rPr>
                      <w:rFonts w:ascii="Times New (W1)" w:hAnsi="Times New (W1)"/>
                      <w:i/>
                      <w:iCs/>
                      <w:sz w:val="22"/>
                      <w:vertAlign w:val="superscript"/>
                    </w:rPr>
                    <w:t>2</w:t>
                  </w:r>
                  <w:r>
                    <w:rPr>
                      <w:rFonts w:ascii="Times New (W1)" w:hAnsi="Times New (W1)"/>
                      <w:i/>
                      <w:iCs/>
                      <w:sz w:val="22"/>
                    </w:rPr>
                    <w:t>”</w:t>
                  </w:r>
                  <w:r>
                    <w:rPr>
                      <w:rFonts w:ascii="Times New (W1)" w:hAnsi="Times New (W1)"/>
                      <w:sz w:val="22"/>
                    </w:rPr>
                    <w:t xml:space="preserve"> and Urban Services’ Design Standards</w:t>
                  </w:r>
                  <w:r>
                    <w:rPr>
                      <w:rFonts w:ascii="Times New (W1)" w:hAnsi="Times New (W1)"/>
                      <w:sz w:val="22"/>
                      <w:vertAlign w:val="superscript"/>
                    </w:rPr>
                    <w:t xml:space="preserve">3 </w:t>
                  </w:r>
                  <w:r>
                    <w:rPr>
                      <w:rFonts w:ascii="Times New (W1)" w:hAnsi="Times New (W1)"/>
                      <w:sz w:val="22"/>
                    </w:rPr>
                    <w:t>to ensure safety screens are considered in the design of new bridges.</w:t>
                  </w:r>
                </w:p>
                <w:p w:rsidR="009B0496" w:rsidRDefault="009B0496">
                  <w:pPr>
                    <w:spacing w:after="240"/>
                    <w:rPr>
                      <w:rFonts w:ascii="Times New (W1)" w:hAnsi="Times New (W1)"/>
                      <w:b/>
                      <w:bCs/>
                      <w:sz w:val="22"/>
                    </w:rPr>
                  </w:pPr>
                </w:p>
                <w:p w:rsidR="009B0496" w:rsidRDefault="00FC714B">
                  <w:pPr>
                    <w:spacing w:after="240"/>
                    <w:rPr>
                      <w:rFonts w:ascii="Times New (W1)" w:hAnsi="Times New (W1)"/>
                      <w:sz w:val="22"/>
                    </w:rPr>
                  </w:pPr>
                  <w:r>
                    <w:rPr>
                      <w:rFonts w:ascii="Times New (W1)" w:hAnsi="Times New (W1)"/>
                      <w:b/>
                      <w:bCs/>
                      <w:sz w:val="22"/>
                    </w:rPr>
                    <w:t>Scope of the policy:</w:t>
                  </w:r>
                  <w:r>
                    <w:rPr>
                      <w:rFonts w:ascii="Times New (W1)" w:hAnsi="Times New (W1)"/>
                      <w:sz w:val="22"/>
                    </w:rPr>
                    <w:t xml:space="preserve"> The policy is limited to pedestrian and mixed use bridges over other roadways and does not include methods for the prevention of objects being thrown from off and on ramps, the side of the road, pedestrian underpasses or a cutting at an embankment. </w:t>
                  </w:r>
                </w:p>
                <w:p w:rsidR="009B0496" w:rsidRDefault="00FC714B">
                  <w:pPr>
                    <w:spacing w:after="240"/>
                    <w:rPr>
                      <w:rFonts w:ascii="Times New (W1)" w:hAnsi="Times New (W1)"/>
                      <w:sz w:val="22"/>
                    </w:rPr>
                  </w:pPr>
                  <w:r>
                    <w:rPr>
                      <w:rFonts w:ascii="Times New (W1)" w:hAnsi="Times New (W1)"/>
                      <w:sz w:val="22"/>
                    </w:rPr>
                    <w:t>The policy is to be used for both the existing bridge network and those bridges proposed for construction in the future.</w:t>
                  </w:r>
                </w:p>
                <w:p w:rsidR="009B0496" w:rsidRDefault="009B0496">
                  <w:pPr>
                    <w:spacing w:after="240"/>
                    <w:rPr>
                      <w:rFonts w:ascii="Times New (W1)" w:hAnsi="Times New (W1)"/>
                      <w:b/>
                      <w:bCs/>
                      <w:sz w:val="22"/>
                    </w:rPr>
                  </w:pPr>
                </w:p>
                <w:p w:rsidR="009B0496" w:rsidRDefault="00FC714B">
                  <w:pPr>
                    <w:spacing w:after="240"/>
                    <w:rPr>
                      <w:rFonts w:ascii="Times New (W1)" w:hAnsi="Times New (W1)"/>
                      <w:sz w:val="22"/>
                    </w:rPr>
                  </w:pPr>
                  <w:r>
                    <w:rPr>
                      <w:rFonts w:ascii="Times New (W1)" w:hAnsi="Times New (W1)"/>
                      <w:b/>
                      <w:bCs/>
                      <w:sz w:val="22"/>
                    </w:rPr>
                    <w:t>Policy Objective:</w:t>
                  </w:r>
                  <w:r>
                    <w:rPr>
                      <w:rFonts w:ascii="Times New (W1)" w:hAnsi="Times New (W1)"/>
                      <w:sz w:val="22"/>
                    </w:rPr>
                    <w:t xml:space="preserve"> </w:t>
                  </w:r>
                  <w:r>
                    <w:rPr>
                      <w:rFonts w:ascii="Times New (W1)" w:hAnsi="Times New (W1)"/>
                      <w:color w:val="000000"/>
                      <w:sz w:val="22"/>
                    </w:rPr>
                    <w:t>The objective of the policy is to</w:t>
                  </w:r>
                  <w:r>
                    <w:rPr>
                      <w:rFonts w:ascii="Times New (W1)" w:hAnsi="Times New (W1)"/>
                      <w:sz w:val="22"/>
                    </w:rPr>
                    <w:t xml:space="preserve"> identify and prioritise bridges for the construction of safety screens at high-risk locations using a risk assessment and evaluation criteria.  The bridge safety screens will be designed to meet the ACT Government’s </w:t>
                  </w:r>
                  <w:r>
                    <w:rPr>
                      <w:rFonts w:ascii="Times New (W1)" w:hAnsi="Times New (W1)"/>
                      <w:color w:val="000000"/>
                      <w:sz w:val="22"/>
                    </w:rPr>
                    <w:t>commitment to</w:t>
                  </w:r>
                  <w:r>
                    <w:rPr>
                      <w:rFonts w:ascii="Times New (W1)" w:hAnsi="Times New (W1)"/>
                      <w:sz w:val="22"/>
                    </w:rPr>
                    <w:t xml:space="preserve"> road user protection in terms of road transport safety, traffic operation and urban design objectives. </w:t>
                  </w:r>
                </w:p>
                <w:p w:rsidR="009B0496" w:rsidRDefault="00FC714B">
                  <w:pPr>
                    <w:spacing w:after="240"/>
                    <w:rPr>
                      <w:color w:val="FF0000"/>
                    </w:rPr>
                  </w:pPr>
                  <w:r>
                    <w:rPr>
                      <w:sz w:val="22"/>
                    </w:rPr>
                    <w:t xml:space="preserve">The risk assessment and evaluation criteria </w:t>
                  </w:r>
                  <w:r>
                    <w:rPr>
                      <w:color w:val="000000"/>
                      <w:sz w:val="22"/>
                    </w:rPr>
                    <w:t>based on a warrant system</w:t>
                  </w:r>
                  <w:r>
                    <w:rPr>
                      <w:rFonts w:ascii="Times New (W1)" w:hAnsi="Times New (W1)"/>
                      <w:color w:val="000000"/>
                      <w:sz w:val="22"/>
                      <w:vertAlign w:val="superscript"/>
                    </w:rPr>
                    <w:t>2</w:t>
                  </w:r>
                  <w:r>
                    <w:rPr>
                      <w:sz w:val="22"/>
                    </w:rPr>
                    <w:t xml:space="preserve"> will be used to determine the appropriateness and ranking of bridge safety screens for existing and proposed future bridges.</w:t>
                  </w:r>
                  <w:r>
                    <w:t xml:space="preserve"> </w:t>
                  </w:r>
                </w:p>
                <w:p w:rsidR="009B0496" w:rsidRDefault="009B0496">
                  <w:pPr>
                    <w:pStyle w:val="Heading6"/>
                  </w:pPr>
                </w:p>
                <w:p w:rsidR="009B0496" w:rsidRDefault="00FC714B">
                  <w:pPr>
                    <w:pStyle w:val="Heading6"/>
                  </w:pPr>
                  <w:r>
                    <w:t>References</w:t>
                  </w:r>
                </w:p>
                <w:p w:rsidR="009B0496" w:rsidRDefault="00FC714B">
                  <w:pPr>
                    <w:spacing w:after="240"/>
                  </w:pPr>
                  <w:r>
                    <w:rPr>
                      <w:sz w:val="16"/>
                    </w:rPr>
                    <w:t>1.  Sustainable Transport Plan for the ACT</w:t>
                  </w:r>
                  <w:r>
                    <w:rPr>
                      <w:sz w:val="16"/>
                    </w:rPr>
                    <w:tab/>
                    <w:t xml:space="preserve">April 2004                                                                                                                                                                 2.  </w:t>
                  </w:r>
                  <w:proofErr w:type="gramStart"/>
                  <w:r>
                    <w:rPr>
                      <w:sz w:val="16"/>
                    </w:rPr>
                    <w:t>Bridge Safety Screen Policy, (Discussion Paper, 20 March 2005), Roads ACT - Planning, Policy and Co-ordination Unit.</w:t>
                  </w:r>
                  <w:proofErr w:type="gramEnd"/>
                  <w:r>
                    <w:rPr>
                      <w:sz w:val="16"/>
                    </w:rPr>
                    <w:t xml:space="preserve">                                                          3.  Urban Services </w:t>
                  </w:r>
                  <w:proofErr w:type="gramStart"/>
                  <w:r>
                    <w:rPr>
                      <w:sz w:val="16"/>
                    </w:rPr>
                    <w:t>‘ Design</w:t>
                  </w:r>
                  <w:proofErr w:type="gramEnd"/>
                  <w:r>
                    <w:rPr>
                      <w:sz w:val="16"/>
                    </w:rPr>
                    <w:t xml:space="preserve"> Standards for Urban Infrastructure 7 – Bridges and Related Structures </w:t>
                  </w:r>
                </w:p>
                <w:p w:rsidR="009B0496" w:rsidRDefault="009B0496">
                  <w:pPr>
                    <w:spacing w:after="240"/>
                    <w:jc w:val="right"/>
                    <w:rPr>
                      <w:rFonts w:ascii="Times New (W1)" w:hAnsi="Times New (W1)"/>
                      <w:b/>
                      <w:color w:val="0000FF"/>
                      <w:sz w:val="22"/>
                    </w:rPr>
                  </w:pPr>
                </w:p>
                <w:p w:rsidR="009B0496" w:rsidRDefault="009B0496">
                  <w:pPr>
                    <w:spacing w:after="240"/>
                  </w:pPr>
                </w:p>
              </w:txbxContent>
            </v:textbox>
          </v:shape>
        </w:pict>
      </w:r>
      <w:r w:rsidR="00FC714B">
        <w:tab/>
      </w:r>
      <w:r w:rsidR="00FC714B">
        <w:tab/>
      </w:r>
      <w:r w:rsidR="00FC714B">
        <w:tab/>
      </w:r>
      <w:r w:rsidR="00FC714B">
        <w:tab/>
      </w:r>
      <w:r w:rsidR="00FC714B">
        <w:tab/>
      </w:r>
      <w:r w:rsidR="00FC714B">
        <w:tab/>
      </w:r>
      <w:r w:rsidR="00FC714B">
        <w:tab/>
      </w:r>
      <w:r w:rsidR="00FC714B">
        <w:tab/>
      </w:r>
      <w:r w:rsidR="00FC714B">
        <w:tab/>
      </w:r>
      <w:proofErr w:type="spellStart"/>
      <w:proofErr w:type="gramStart"/>
      <w:r w:rsidR="00FC714B">
        <w:t>aaatt</w:t>
      </w:r>
      <w:proofErr w:type="spellEnd"/>
      <w:proofErr w:type="gramEnd"/>
    </w:p>
    <w:p w:rsidR="009B0496" w:rsidRDefault="009B0496"/>
    <w:sectPr w:rsidR="009B0496" w:rsidSect="009B0496">
      <w:pgSz w:w="11907" w:h="16840" w:code="9"/>
      <w:pgMar w:top="1440" w:right="1797" w:bottom="1440"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2020603050405020304"/>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F5F8D"/>
    <w:rsid w:val="001E4476"/>
    <w:rsid w:val="00632F90"/>
    <w:rsid w:val="006F5F8D"/>
    <w:rsid w:val="009B0496"/>
    <w:rsid w:val="00FC71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96"/>
    <w:rPr>
      <w:sz w:val="24"/>
      <w:lang w:eastAsia="en-US"/>
    </w:rPr>
  </w:style>
  <w:style w:type="paragraph" w:styleId="Heading1">
    <w:name w:val="heading 1"/>
    <w:basedOn w:val="Normal"/>
    <w:next w:val="Normal"/>
    <w:qFormat/>
    <w:rsid w:val="009B0496"/>
    <w:pPr>
      <w:keepNext/>
      <w:spacing w:after="240"/>
      <w:outlineLvl w:val="0"/>
    </w:pPr>
    <w:rPr>
      <w:rFonts w:ascii="Arial" w:hAnsi="Arial"/>
      <w:b/>
      <w:caps/>
      <w:sz w:val="22"/>
    </w:rPr>
  </w:style>
  <w:style w:type="paragraph" w:styleId="Heading2">
    <w:name w:val="heading 2"/>
    <w:basedOn w:val="Normal"/>
    <w:next w:val="Normal"/>
    <w:qFormat/>
    <w:rsid w:val="009B0496"/>
    <w:pPr>
      <w:keepNext/>
      <w:tabs>
        <w:tab w:val="left" w:pos="4111"/>
      </w:tabs>
      <w:spacing w:after="240"/>
      <w:ind w:left="1560" w:firstLine="10"/>
      <w:jc w:val="both"/>
      <w:outlineLvl w:val="1"/>
    </w:pPr>
    <w:rPr>
      <w:rFonts w:ascii="Arial" w:hAnsi="Arial"/>
      <w:b/>
      <w:sz w:val="36"/>
    </w:rPr>
  </w:style>
  <w:style w:type="paragraph" w:styleId="Heading3">
    <w:name w:val="heading 3"/>
    <w:basedOn w:val="Normal"/>
    <w:next w:val="Normal"/>
    <w:qFormat/>
    <w:rsid w:val="009B0496"/>
    <w:pPr>
      <w:keepNext/>
      <w:spacing w:before="120" w:after="120"/>
      <w:outlineLvl w:val="2"/>
    </w:pPr>
  </w:style>
  <w:style w:type="paragraph" w:styleId="Heading4">
    <w:name w:val="heading 4"/>
    <w:basedOn w:val="Normal"/>
    <w:next w:val="Normal"/>
    <w:qFormat/>
    <w:rsid w:val="009B0496"/>
    <w:pPr>
      <w:keepNext/>
      <w:spacing w:before="120" w:after="120"/>
      <w:outlineLvl w:val="3"/>
    </w:pPr>
    <w:rPr>
      <w:rFonts w:ascii="Arial" w:hAnsi="Arial"/>
      <w:b/>
    </w:rPr>
  </w:style>
  <w:style w:type="paragraph" w:styleId="Heading5">
    <w:name w:val="heading 5"/>
    <w:basedOn w:val="Normal"/>
    <w:next w:val="Normal"/>
    <w:qFormat/>
    <w:rsid w:val="009B0496"/>
    <w:pPr>
      <w:keepNext/>
      <w:spacing w:after="240"/>
      <w:jc w:val="center"/>
      <w:outlineLvl w:val="4"/>
    </w:pPr>
    <w:rPr>
      <w:rFonts w:ascii="Times New (W1)" w:hAnsi="Times New (W1)"/>
      <w:b/>
      <w:bCs/>
      <w:sz w:val="32"/>
    </w:rPr>
  </w:style>
  <w:style w:type="paragraph" w:styleId="Heading6">
    <w:name w:val="heading 6"/>
    <w:basedOn w:val="Normal"/>
    <w:next w:val="Normal"/>
    <w:qFormat/>
    <w:rsid w:val="009B0496"/>
    <w:pPr>
      <w:keepNext/>
      <w:framePr w:hSpace="180" w:wrap="auto" w:vAnchor="text" w:hAnchor="text" w:x="9247" w:y="11536"/>
      <w:spacing w:after="240"/>
      <w:outlineLvl w:val="5"/>
    </w:pPr>
    <w:rPr>
      <w:i/>
      <w:iCs/>
      <w:sz w:val="16"/>
      <w:u w:val="single"/>
    </w:rPr>
  </w:style>
  <w:style w:type="paragraph" w:styleId="Heading7">
    <w:name w:val="heading 7"/>
    <w:basedOn w:val="Normal"/>
    <w:next w:val="Normal"/>
    <w:qFormat/>
    <w:rsid w:val="009B0496"/>
    <w:pPr>
      <w:keepNext/>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0496"/>
    <w:pPr>
      <w:spacing w:after="240"/>
    </w:pPr>
    <w:rPr>
      <w:rFonts w:ascii="Times New (W1)" w:hAnsi="Times New (W1)"/>
      <w:sz w:val="22"/>
    </w:rPr>
  </w:style>
  <w:style w:type="paragraph" w:styleId="BodyText2">
    <w:name w:val="Body Text 2"/>
    <w:basedOn w:val="Normal"/>
    <w:semiHidden/>
    <w:rsid w:val="009B0496"/>
    <w:pPr>
      <w:spacing w:after="240"/>
    </w:pPr>
    <w:rPr>
      <w:rFonts w:ascii="Times New (W1)" w:hAnsi="Times New (W1)"/>
      <w:sz w:val="20"/>
    </w:rPr>
  </w:style>
  <w:style w:type="paragraph" w:styleId="BalloonText">
    <w:name w:val="Balloon Text"/>
    <w:basedOn w:val="Normal"/>
    <w:link w:val="BalloonTextChar"/>
    <w:uiPriority w:val="99"/>
    <w:semiHidden/>
    <w:unhideWhenUsed/>
    <w:rsid w:val="006F5F8D"/>
    <w:rPr>
      <w:rFonts w:ascii="Tahoma" w:hAnsi="Tahoma" w:cs="Tahoma"/>
      <w:sz w:val="16"/>
      <w:szCs w:val="16"/>
    </w:rPr>
  </w:style>
  <w:style w:type="character" w:customStyle="1" w:styleId="BalloonTextChar">
    <w:name w:val="Balloon Text Char"/>
    <w:basedOn w:val="DefaultParagraphFont"/>
    <w:link w:val="BalloonText"/>
    <w:uiPriority w:val="99"/>
    <w:semiHidden/>
    <w:rsid w:val="006F5F8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ACT Government</Company>
  <LinksUpToDate>false</LinksUpToDate>
  <CharactersWithSpaces>16</CharactersWithSpaces>
  <SharedDoc>false</SharedDoc>
  <HLinks>
    <vt:vector size="18" baseType="variant">
      <vt:variant>
        <vt:i4>3211339</vt:i4>
      </vt:variant>
      <vt:variant>
        <vt:i4>0</vt:i4>
      </vt:variant>
      <vt:variant>
        <vt:i4>0</vt:i4>
      </vt:variant>
      <vt:variant>
        <vt:i4>5</vt:i4>
      </vt:variant>
      <vt:variant>
        <vt:lpwstr>C:\act004dusdd_docsContentCorp CommunicationsGuidelinesDUS Logo Style Guidelineslogosurban_services.htm</vt:lpwstr>
      </vt:variant>
      <vt:variant>
        <vt:lpwstr/>
      </vt:variant>
      <vt:variant>
        <vt:i4>6619222</vt:i4>
      </vt:variant>
      <vt:variant>
        <vt:i4>1366</vt:i4>
      </vt:variant>
      <vt:variant>
        <vt:i4>1025</vt:i4>
      </vt:variant>
      <vt:variant>
        <vt:i4>4</vt:i4>
      </vt:variant>
      <vt:variant>
        <vt:lpwstr>logos/urban_services.htm</vt:lpwstr>
      </vt:variant>
      <vt:variant>
        <vt:lpwstr/>
      </vt:variant>
      <vt:variant>
        <vt:i4>3145775</vt:i4>
      </vt:variant>
      <vt:variant>
        <vt:i4>1366</vt:i4>
      </vt:variant>
      <vt:variant>
        <vt:i4>1025</vt:i4>
      </vt:variant>
      <vt:variant>
        <vt:i4>1</vt:i4>
      </vt:variant>
      <vt:variant>
        <vt:lpwstr>\\act004\dusdd_docs\Content\Corp Communications\Guidelines\DUS Logo Style Guidelines\logos\logo_images\Urban_Services\urbanServices_web_display.gif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sandanam</dc:creator>
  <cp:lastModifiedBy>jennifer reed-larsen</cp:lastModifiedBy>
  <cp:revision>2</cp:revision>
  <cp:lastPrinted>2005-08-22T01:17:00Z</cp:lastPrinted>
  <dcterms:created xsi:type="dcterms:W3CDTF">2012-11-14T05:21:00Z</dcterms:created>
  <dcterms:modified xsi:type="dcterms:W3CDTF">2012-11-14T05:21:00Z</dcterms:modified>
</cp:coreProperties>
</file>